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FC352" w14:textId="77777777" w:rsidR="003E1766" w:rsidRDefault="00BF54DD" w:rsidP="00BF54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Financial Accounting</w:t>
      </w:r>
    </w:p>
    <w:p w14:paraId="1DE4CFD9" w14:textId="36F721EF" w:rsidR="00BF54DD" w:rsidRPr="00E96FB1" w:rsidRDefault="00BF54DD" w:rsidP="00E96FB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6FB1">
        <w:rPr>
          <w:rFonts w:ascii="Times New Roman" w:hAnsi="Times New Roman" w:cs="Times New Roman"/>
          <w:sz w:val="24"/>
          <w:szCs w:val="24"/>
          <w:lang w:val="en-US"/>
        </w:rPr>
        <w:t>Section A</w:t>
      </w:r>
      <w:r w:rsidR="00E96F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</w:p>
    <w:p w14:paraId="6E066E01" w14:textId="77777777" w:rsidR="00E96FB1" w:rsidRDefault="00E96FB1" w:rsidP="00E96FB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07B702B8" w14:textId="77777777" w:rsidR="00E96FB1" w:rsidRDefault="00E96FB1" w:rsidP="00E96FB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12F0051E" w14:textId="77777777" w:rsidR="00E96FB1" w:rsidRDefault="00E96FB1" w:rsidP="00E96FB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1D011330" w14:textId="77777777" w:rsidR="00BF54DD" w:rsidRPr="00E96FB1" w:rsidRDefault="00BF54DD" w:rsidP="00E96FB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96FB1">
        <w:rPr>
          <w:rFonts w:ascii="Times New Roman" w:hAnsi="Times New Roman" w:cs="Times New Roman"/>
          <w:sz w:val="24"/>
          <w:szCs w:val="24"/>
          <w:lang w:val="en-US"/>
        </w:rPr>
        <w:t>Section B</w:t>
      </w:r>
    </w:p>
    <w:p w14:paraId="4D49D042" w14:textId="77777777" w:rsidR="00BF54DD" w:rsidRDefault="00BF54DD" w:rsidP="00BF54DD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Michael provides the following business transactions:</w:t>
      </w:r>
    </w:p>
    <w:p w14:paraId="23C75A2E" w14:textId="77777777" w:rsidR="00BF54DD" w:rsidRDefault="00BF54DD" w:rsidP="00BF54D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54DD">
        <w:rPr>
          <w:rFonts w:ascii="Times New Roman" w:hAnsi="Times New Roman" w:cs="Times New Roman"/>
          <w:sz w:val="24"/>
          <w:szCs w:val="24"/>
          <w:lang w:val="en-US"/>
        </w:rPr>
        <w:t>The business sells USD 160,000 on credit.</w:t>
      </w:r>
    </w:p>
    <w:p w14:paraId="31DB6743" w14:textId="77777777" w:rsidR="00BF54DD" w:rsidRDefault="00BF54DD" w:rsidP="00BF54D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54DD">
        <w:rPr>
          <w:rFonts w:ascii="Times New Roman" w:hAnsi="Times New Roman" w:cs="Times New Roman"/>
          <w:sz w:val="24"/>
          <w:szCs w:val="24"/>
          <w:lang w:val="en-US"/>
        </w:rPr>
        <w:t>25% of the balance is received as cash and 10% by cheque.</w:t>
      </w:r>
    </w:p>
    <w:p w14:paraId="491532EE" w14:textId="77777777" w:rsidR="00BF54DD" w:rsidRDefault="00BF54DD" w:rsidP="00BF54D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F54DD">
        <w:rPr>
          <w:rFonts w:ascii="Times New Roman" w:hAnsi="Times New Roman" w:cs="Times New Roman"/>
          <w:sz w:val="24"/>
          <w:szCs w:val="24"/>
          <w:lang w:val="en-US"/>
        </w:rPr>
        <w:t>5% of the balance has become irrecoverable and is written off.</w:t>
      </w:r>
    </w:p>
    <w:p w14:paraId="4D4FBA23" w14:textId="77777777" w:rsidR="00BF54DD" w:rsidRDefault="00BF54DD" w:rsidP="00BF54DD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provision of 5% is made for the remaining balance in year 1, and 3% in year 2 where the balance remained unchanged.</w:t>
      </w:r>
    </w:p>
    <w:p w14:paraId="06A4BD37" w14:textId="77777777" w:rsidR="00BF54DD" w:rsidRDefault="00BF54DD" w:rsidP="00BF54DD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Pass the journal entries to accommodate the above transactions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3955"/>
        <w:gridCol w:w="2340"/>
        <w:gridCol w:w="1615"/>
      </w:tblGrid>
      <w:tr w:rsidR="004939DA" w14:paraId="2899E940" w14:textId="77777777" w:rsidTr="004939DA">
        <w:tc>
          <w:tcPr>
            <w:tcW w:w="3955" w:type="dxa"/>
          </w:tcPr>
          <w:p w14:paraId="78FB9B0D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Item</w:t>
            </w:r>
          </w:p>
        </w:tc>
        <w:tc>
          <w:tcPr>
            <w:tcW w:w="2340" w:type="dxa"/>
          </w:tcPr>
          <w:p w14:paraId="67784B24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Debit </w:t>
            </w:r>
            <w:r w:rsidR="00306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(in USD)</w:t>
            </w:r>
          </w:p>
        </w:tc>
        <w:tc>
          <w:tcPr>
            <w:tcW w:w="1615" w:type="dxa"/>
          </w:tcPr>
          <w:p w14:paraId="0CE78304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  <w:r w:rsidR="00306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 USD)</w:t>
            </w:r>
          </w:p>
        </w:tc>
      </w:tr>
      <w:tr w:rsidR="004939DA" w14:paraId="4C07E133" w14:textId="77777777" w:rsidTr="004939DA">
        <w:tc>
          <w:tcPr>
            <w:tcW w:w="3955" w:type="dxa"/>
          </w:tcPr>
          <w:p w14:paraId="339609F4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Accounts Receivable</w:t>
            </w:r>
          </w:p>
        </w:tc>
        <w:tc>
          <w:tcPr>
            <w:tcW w:w="2340" w:type="dxa"/>
          </w:tcPr>
          <w:p w14:paraId="1E0896FB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160,000</w:t>
            </w:r>
          </w:p>
        </w:tc>
        <w:tc>
          <w:tcPr>
            <w:tcW w:w="1615" w:type="dxa"/>
          </w:tcPr>
          <w:p w14:paraId="4A94DDA5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39DA" w14:paraId="20A5A8C1" w14:textId="77777777" w:rsidTr="004939DA">
        <w:tc>
          <w:tcPr>
            <w:tcW w:w="3955" w:type="dxa"/>
          </w:tcPr>
          <w:p w14:paraId="65574EB2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Inventory</w:t>
            </w:r>
          </w:p>
        </w:tc>
        <w:tc>
          <w:tcPr>
            <w:tcW w:w="2340" w:type="dxa"/>
          </w:tcPr>
          <w:p w14:paraId="6172F574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5" w:type="dxa"/>
          </w:tcPr>
          <w:p w14:paraId="123F4779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160,000</w:t>
            </w:r>
          </w:p>
        </w:tc>
      </w:tr>
      <w:tr w:rsidR="004939DA" w14:paraId="78365459" w14:textId="77777777" w:rsidTr="004939DA">
        <w:tc>
          <w:tcPr>
            <w:tcW w:w="3955" w:type="dxa"/>
          </w:tcPr>
          <w:p w14:paraId="0E47A5A5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Cash</w:t>
            </w:r>
          </w:p>
        </w:tc>
        <w:tc>
          <w:tcPr>
            <w:tcW w:w="2340" w:type="dxa"/>
          </w:tcPr>
          <w:p w14:paraId="6DAA60E3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40,000</w:t>
            </w:r>
          </w:p>
        </w:tc>
        <w:tc>
          <w:tcPr>
            <w:tcW w:w="1615" w:type="dxa"/>
          </w:tcPr>
          <w:p w14:paraId="3C53DC47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39DA" w14:paraId="609EA0F1" w14:textId="77777777" w:rsidTr="004939DA">
        <w:tc>
          <w:tcPr>
            <w:tcW w:w="3955" w:type="dxa"/>
          </w:tcPr>
          <w:p w14:paraId="574EE240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Accounts Receivable</w:t>
            </w:r>
          </w:p>
        </w:tc>
        <w:tc>
          <w:tcPr>
            <w:tcW w:w="2340" w:type="dxa"/>
          </w:tcPr>
          <w:p w14:paraId="084A9E46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5" w:type="dxa"/>
          </w:tcPr>
          <w:p w14:paraId="31A6A1EC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40,000</w:t>
            </w:r>
          </w:p>
        </w:tc>
      </w:tr>
      <w:tr w:rsidR="004939DA" w14:paraId="37D07509" w14:textId="77777777" w:rsidTr="004939DA">
        <w:tc>
          <w:tcPr>
            <w:tcW w:w="3955" w:type="dxa"/>
          </w:tcPr>
          <w:p w14:paraId="40911EF5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Cheque</w:t>
            </w:r>
          </w:p>
        </w:tc>
        <w:tc>
          <w:tcPr>
            <w:tcW w:w="2340" w:type="dxa"/>
          </w:tcPr>
          <w:p w14:paraId="1A5D7BF1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16,000</w:t>
            </w:r>
          </w:p>
        </w:tc>
        <w:tc>
          <w:tcPr>
            <w:tcW w:w="1615" w:type="dxa"/>
          </w:tcPr>
          <w:p w14:paraId="0F68855A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39DA" w14:paraId="3F3E2DD8" w14:textId="77777777" w:rsidTr="004939DA">
        <w:tc>
          <w:tcPr>
            <w:tcW w:w="3955" w:type="dxa"/>
          </w:tcPr>
          <w:p w14:paraId="53269B9B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Accounts Receivable</w:t>
            </w:r>
          </w:p>
        </w:tc>
        <w:tc>
          <w:tcPr>
            <w:tcW w:w="2340" w:type="dxa"/>
          </w:tcPr>
          <w:p w14:paraId="0B2C7223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5" w:type="dxa"/>
          </w:tcPr>
          <w:p w14:paraId="4323609D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16,000</w:t>
            </w:r>
          </w:p>
        </w:tc>
      </w:tr>
      <w:tr w:rsidR="004939DA" w14:paraId="46ABB5D9" w14:textId="77777777" w:rsidTr="004939DA">
        <w:tc>
          <w:tcPr>
            <w:tcW w:w="3955" w:type="dxa"/>
          </w:tcPr>
          <w:p w14:paraId="4F7183E5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Provision (Year 1)</w:t>
            </w:r>
          </w:p>
        </w:tc>
        <w:tc>
          <w:tcPr>
            <w:tcW w:w="2340" w:type="dxa"/>
          </w:tcPr>
          <w:p w14:paraId="50DDCC85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8,000</w:t>
            </w:r>
          </w:p>
        </w:tc>
        <w:tc>
          <w:tcPr>
            <w:tcW w:w="1615" w:type="dxa"/>
          </w:tcPr>
          <w:p w14:paraId="67FBEC78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39DA" w14:paraId="3CA290A7" w14:textId="77777777" w:rsidTr="004939DA">
        <w:tc>
          <w:tcPr>
            <w:tcW w:w="3955" w:type="dxa"/>
          </w:tcPr>
          <w:p w14:paraId="446C2225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Balance (Year 1)</w:t>
            </w:r>
          </w:p>
        </w:tc>
        <w:tc>
          <w:tcPr>
            <w:tcW w:w="2340" w:type="dxa"/>
          </w:tcPr>
          <w:p w14:paraId="0366B6E4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5" w:type="dxa"/>
          </w:tcPr>
          <w:p w14:paraId="16830D51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8,000</w:t>
            </w:r>
          </w:p>
        </w:tc>
      </w:tr>
      <w:tr w:rsidR="004939DA" w14:paraId="639A24FA" w14:textId="77777777" w:rsidTr="004939DA">
        <w:tc>
          <w:tcPr>
            <w:tcW w:w="3955" w:type="dxa"/>
          </w:tcPr>
          <w:p w14:paraId="4394214C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Provision (Year 2)</w:t>
            </w:r>
          </w:p>
        </w:tc>
        <w:tc>
          <w:tcPr>
            <w:tcW w:w="2340" w:type="dxa"/>
          </w:tcPr>
          <w:p w14:paraId="24CE3727" w14:textId="77777777" w:rsidR="004939DA" w:rsidRDefault="00306452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4,800</w:t>
            </w:r>
          </w:p>
        </w:tc>
        <w:tc>
          <w:tcPr>
            <w:tcW w:w="1615" w:type="dxa"/>
          </w:tcPr>
          <w:p w14:paraId="1626A524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39DA" w14:paraId="2DA226AE" w14:textId="77777777" w:rsidTr="004939DA">
        <w:tc>
          <w:tcPr>
            <w:tcW w:w="3955" w:type="dxa"/>
          </w:tcPr>
          <w:p w14:paraId="2B896EED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Balance (Year 2)</w:t>
            </w:r>
          </w:p>
        </w:tc>
        <w:tc>
          <w:tcPr>
            <w:tcW w:w="2340" w:type="dxa"/>
          </w:tcPr>
          <w:p w14:paraId="52714759" w14:textId="77777777" w:rsidR="004939DA" w:rsidRDefault="004939DA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15" w:type="dxa"/>
          </w:tcPr>
          <w:p w14:paraId="5ECB0596" w14:textId="77777777" w:rsidR="004939DA" w:rsidRDefault="00306452" w:rsidP="004939DA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4,800</w:t>
            </w:r>
          </w:p>
        </w:tc>
      </w:tr>
    </w:tbl>
    <w:p w14:paraId="40B2BD39" w14:textId="77777777" w:rsidR="004939DA" w:rsidRDefault="004939DA" w:rsidP="004939DA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24120FA5" w14:textId="77777777" w:rsidR="00BF54DD" w:rsidRDefault="00BF54DD" w:rsidP="00BF54DD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96FB1">
        <w:rPr>
          <w:rFonts w:ascii="Times New Roman" w:hAnsi="Times New Roman" w:cs="Times New Roman"/>
          <w:sz w:val="24"/>
          <w:szCs w:val="24"/>
          <w:u w:val="single"/>
          <w:lang w:val="en-US"/>
        </w:rPr>
        <w:t>Explain the double entries for an increase and decrease in allowances for doubtful debts, and explain the double entries for irrecoverable debts written off.</w:t>
      </w:r>
    </w:p>
    <w:p w14:paraId="7BAFDC02" w14:textId="77777777" w:rsidR="00AF155C" w:rsidRPr="00E96FB1" w:rsidRDefault="00AF155C" w:rsidP="00AF155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63EF01E9" w14:textId="77777777" w:rsidR="00BF54DD" w:rsidRDefault="00BF54DD" w:rsidP="00BF54DD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96FB1">
        <w:rPr>
          <w:rFonts w:ascii="Times New Roman" w:hAnsi="Times New Roman" w:cs="Times New Roman"/>
          <w:sz w:val="24"/>
          <w:szCs w:val="24"/>
          <w:u w:val="single"/>
          <w:lang w:val="en-US"/>
        </w:rPr>
        <w:t>What circumstances might lead</w:t>
      </w:r>
      <w:r w:rsidR="00264812" w:rsidRPr="00E96FB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one to write off a debt as bad?</w:t>
      </w:r>
    </w:p>
    <w:p w14:paraId="2B53FC03" w14:textId="77777777" w:rsidR="00AF155C" w:rsidRDefault="00AF155C" w:rsidP="00AF155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01303084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Debt that is considered to be no longer collectable is deemed worthless to </w:t>
      </w:r>
    </w:p>
    <w:p w14:paraId="30C1E9B6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the creditor, and as a result, this debt becomes written off as bad. Bad debts often </w:t>
      </w:r>
    </w:p>
    <w:p w14:paraId="1A2FA69B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occur as a result of a debtor entering bankruptcy, or when the costs of debt pursuit</w:t>
      </w:r>
    </w:p>
    <w:p w14:paraId="3117578C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for the creditor will be larger than the total amount to be collected.</w:t>
      </w:r>
    </w:p>
    <w:p w14:paraId="67865FC6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Bad debt can also sometimes signify that the company’s collection </w:t>
      </w:r>
    </w:p>
    <w:p w14:paraId="2915232F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department has poor leverage over the clients it intends to collect from. In this </w:t>
      </w:r>
    </w:p>
    <w:p w14:paraId="2AF3819D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case, the company will likely record the debt as a bad debt and write it off at </w:t>
      </w:r>
    </w:p>
    <w:p w14:paraId="5AC03F12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salvage value, which will likely be the price a collection agency will offer to the </w:t>
      </w:r>
    </w:p>
    <w:p w14:paraId="1C4089FB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company for approval. At that point, the debt is turned over to the agency, and any</w:t>
      </w:r>
    </w:p>
    <w:p w14:paraId="72FA1FFF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monies collected from that will no longer go to the original </w:t>
      </w:r>
      <w:proofErr w:type="spellStart"/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</w:t>
      </w:r>
      <w:proofErr w:type="spellEnd"/>
    </w:p>
    <w:p w14:paraId="703A3822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Debt that is considered to be no longer collectable is deemed worthless to </w:t>
      </w:r>
    </w:p>
    <w:p w14:paraId="04885715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the creditor, and as a result, this debt becomes written off as bad. Bad debts often </w:t>
      </w:r>
    </w:p>
    <w:p w14:paraId="7D81754D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occur as a result of a debtor entering bankruptcy, or when the costs of debt pursuit</w:t>
      </w:r>
    </w:p>
    <w:p w14:paraId="6A7DFF69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for the creditor will be larger than the total amount to be collected.</w:t>
      </w:r>
    </w:p>
    <w:p w14:paraId="7EBC4378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Bad debt can also sometimes signify that the company’s collection </w:t>
      </w:r>
    </w:p>
    <w:p w14:paraId="17755B1E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department has poor leverage over the clients it intends to collect from. In this </w:t>
      </w:r>
    </w:p>
    <w:p w14:paraId="0C353F94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case, the company will likely record the debt as a bad debt and write it off at </w:t>
      </w:r>
    </w:p>
    <w:p w14:paraId="71D4D4A6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salvage value, which will likely be the price a collection agency will offer to the </w:t>
      </w:r>
    </w:p>
    <w:p w14:paraId="0CEED3E0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company for approval. At that point, the debt is turned over to the agency, and any</w:t>
      </w:r>
    </w:p>
    <w:p w14:paraId="4142FDAF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monies collected from that will no longer go to the original </w:t>
      </w:r>
      <w:proofErr w:type="spellStart"/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</w:t>
      </w:r>
      <w:proofErr w:type="spellEnd"/>
    </w:p>
    <w:p w14:paraId="545436D4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Debt that is considered to be no longer collectable is deemed worthless to </w:t>
      </w:r>
    </w:p>
    <w:p w14:paraId="3DC84027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the creditor, and as a result, this debt becomes written off as bad. Bad debts often </w:t>
      </w:r>
    </w:p>
    <w:p w14:paraId="4651E98A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occur as a result of a debtor entering bankruptcy, or when the costs of debt pursuit</w:t>
      </w:r>
    </w:p>
    <w:p w14:paraId="4F793703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for the creditor will be larger than the total amount to be collected.</w:t>
      </w:r>
    </w:p>
    <w:p w14:paraId="78404CCC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Bad debt can also sometimes signify that the company’s collection </w:t>
      </w:r>
    </w:p>
    <w:p w14:paraId="55CF1EBA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department has poor leverage over the clients it intends to collect from. In this </w:t>
      </w:r>
    </w:p>
    <w:p w14:paraId="05DA9FB7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case, the company will likely record the debt as a bad debt and write it off at </w:t>
      </w:r>
    </w:p>
    <w:p w14:paraId="2F2DD04D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salvage value, which will likely be the price a collection agency will offer to the </w:t>
      </w:r>
    </w:p>
    <w:p w14:paraId="0B9CE2E2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company for approval. At that point, the debt is turned over to the agency, and any</w:t>
      </w:r>
    </w:p>
    <w:p w14:paraId="1CB8A177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monies collected from that will no longer go to the original </w:t>
      </w:r>
      <w:proofErr w:type="spellStart"/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</w:t>
      </w:r>
      <w:proofErr w:type="spellEnd"/>
    </w:p>
    <w:p w14:paraId="7EA58D8C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Debt that is considered to be no longer collectable is deemed worthless to </w:t>
      </w:r>
    </w:p>
    <w:p w14:paraId="30342561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the creditor, and as a result, this debt becomes written off as bad. Bad debts often </w:t>
      </w:r>
    </w:p>
    <w:p w14:paraId="5B8AB4E8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occur as a result of a debtor entering bankruptcy, or when the costs of debt pursuit</w:t>
      </w:r>
    </w:p>
    <w:p w14:paraId="734B0ABC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for the creditor will be larger than the total amount to be collected.</w:t>
      </w:r>
    </w:p>
    <w:p w14:paraId="20E7C210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Bad debt can also sometimes signify that the company’s collection </w:t>
      </w:r>
    </w:p>
    <w:p w14:paraId="760CABB6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department has poor leverage over the clients it intends to collect from. In this </w:t>
      </w:r>
    </w:p>
    <w:p w14:paraId="5F246565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case, the company will likely record the debt as a bad debt and write it off at </w:t>
      </w:r>
    </w:p>
    <w:p w14:paraId="1252AC56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salvage value, which will likely be the price a collection agency will offer to the </w:t>
      </w:r>
    </w:p>
    <w:p w14:paraId="08AA0E27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company for approval. At that point, the debt is turned over to the agency, and any</w:t>
      </w:r>
    </w:p>
    <w:p w14:paraId="7EED9667" w14:textId="77777777" w:rsidR="00AF155C" w:rsidRPr="00AF155C" w:rsidRDefault="00AF155C" w:rsidP="00AF155C">
      <w:pPr>
        <w:spacing w:line="0" w:lineRule="auto"/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</w:pPr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 xml:space="preserve">monies collected from that will no longer go to the original </w:t>
      </w:r>
      <w:proofErr w:type="spellStart"/>
      <w:r w:rsidRPr="00AF155C">
        <w:rPr>
          <w:rFonts w:ascii="pg-6ff1b" w:eastAsia="Times New Roman" w:hAnsi="pg-6ff1b" w:cs="Times New Roman"/>
          <w:color w:val="000000"/>
          <w:sz w:val="72"/>
          <w:szCs w:val="72"/>
          <w:lang w:val="en-GB" w:eastAsia="en-GB"/>
        </w:rPr>
        <w:t>compan</w:t>
      </w:r>
      <w:proofErr w:type="spellEnd"/>
    </w:p>
    <w:p w14:paraId="4FF7C4EC" w14:textId="77777777" w:rsidR="00AF155C" w:rsidRPr="00AF155C" w:rsidRDefault="00AF155C" w:rsidP="00AF155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14:paraId="632920BC" w14:textId="77777777" w:rsidR="00EB3DA1" w:rsidRDefault="00EB3DA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PH"/>
        </w:rPr>
        <w:id w:val="213551865"/>
        <w:docPartObj>
          <w:docPartGallery w:val="Bibliographies"/>
          <w:docPartUnique/>
        </w:docPartObj>
      </w:sdtPr>
      <w:sdtEndPr/>
      <w:sdtContent>
        <w:p w14:paraId="3BD9A503" w14:textId="77777777" w:rsidR="00EB3DA1" w:rsidRPr="00EB3DA1" w:rsidRDefault="00EB3DA1" w:rsidP="00EB3DA1">
          <w:pPr>
            <w:pStyle w:val="Heading1"/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EB3DA1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14:paraId="279C4054" w14:textId="77777777" w:rsidR="00EB3DA1" w:rsidRPr="00EB3DA1" w:rsidRDefault="00EB3DA1" w:rsidP="00EB3DA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EB3DA1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EB3DA1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EB3DA1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Deloitte. "IAS Plus." </w:t>
              </w:r>
              <w:r w:rsidRPr="00EB3DA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IAS 1 — Presentation of Financial Statements</w:t>
              </w: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. n.d. &lt;http://www.iasplus.com/en/standards/ias/ias1&gt;.</w:t>
              </w:r>
            </w:p>
            <w:p w14:paraId="305CA0FF" w14:textId="77777777" w:rsidR="00EB3DA1" w:rsidRPr="00EB3DA1" w:rsidRDefault="00EB3DA1" w:rsidP="00EB3DA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Investopedia. "International Accounting Standards - IAS." </w:t>
              </w:r>
              <w:r w:rsidRPr="00EB3DA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International Accounting Standards - IAS</w:t>
              </w: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. n.d. &lt;http://www.investopedia.com/terms/i/ias.asp&gt;.</w:t>
              </w:r>
            </w:p>
            <w:p w14:paraId="6C991F3D" w14:textId="77777777" w:rsidR="00EB3DA1" w:rsidRPr="00EB3DA1" w:rsidRDefault="00EB3DA1" w:rsidP="00EB3DA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Keown, A.J. and J.W. Petty. </w:t>
              </w:r>
              <w:r w:rsidRPr="00EB3DA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Foundations of Finance</w:t>
              </w: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. 8th. Pearson, 2013. Textbook.</w:t>
              </w:r>
            </w:p>
            <w:p w14:paraId="495067BD" w14:textId="77777777" w:rsidR="00EB3DA1" w:rsidRPr="00EB3DA1" w:rsidRDefault="00EB3DA1" w:rsidP="00EB3DA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</w:pP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 xml:space="preserve">PriceWaterhouseCooper. "IFRS and US GAAP: Similarities and Differences." </w:t>
              </w:r>
              <w:r w:rsidRPr="00EB3DA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  <w:lang w:val="en-US"/>
                </w:rPr>
                <w:t>IFRS and US GAAP: Similarities and Differences</w:t>
              </w:r>
              <w:r w:rsidRPr="00EB3DA1">
                <w:rPr>
                  <w:rFonts w:ascii="Times New Roman" w:hAnsi="Times New Roman" w:cs="Times New Roman"/>
                  <w:noProof/>
                  <w:sz w:val="24"/>
                  <w:szCs w:val="24"/>
                  <w:lang w:val="en-US"/>
                </w:rPr>
                <w:t>. September 2015. Report. &lt;http://www.pwc.com/us/en/cfodirect/assets/pdf/accounting-guides/pwc-ifrs-us-gaap-similarities-and-differences-2015.pdf&gt;.</w:t>
              </w:r>
            </w:p>
            <w:p w14:paraId="2CA88BD0" w14:textId="77777777" w:rsidR="00EB3DA1" w:rsidRDefault="00EB3DA1" w:rsidP="00EB3DA1">
              <w:pPr>
                <w:spacing w:line="480" w:lineRule="auto"/>
              </w:pPr>
              <w:r w:rsidRPr="00EB3DA1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59086F58" w14:textId="77777777" w:rsidR="00EB3DA1" w:rsidRDefault="00EB3DA1" w:rsidP="00EB3D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A4796E" w14:textId="77777777" w:rsidR="00114C95" w:rsidRDefault="00114C95" w:rsidP="00EB3D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D35178" w14:textId="77777777" w:rsidR="00114C95" w:rsidRPr="00EB3DA1" w:rsidRDefault="00114C95" w:rsidP="00EB3D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14C95" w:rsidRPr="00EB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g-6ff1b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6A6685"/>
    <w:multiLevelType w:val="hybridMultilevel"/>
    <w:tmpl w:val="E94A6736"/>
    <w:lvl w:ilvl="0" w:tplc="AE58E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B14BB"/>
    <w:multiLevelType w:val="hybridMultilevel"/>
    <w:tmpl w:val="C8BA13BE"/>
    <w:lvl w:ilvl="0" w:tplc="C69836AA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34090019" w:tentative="1">
      <w:start w:val="1"/>
      <w:numFmt w:val="lowerLetter"/>
      <w:lvlText w:val="%2."/>
      <w:lvlJc w:val="left"/>
      <w:pPr>
        <w:ind w:left="2520" w:hanging="360"/>
      </w:pPr>
    </w:lvl>
    <w:lvl w:ilvl="2" w:tplc="3409001B" w:tentative="1">
      <w:start w:val="1"/>
      <w:numFmt w:val="lowerRoman"/>
      <w:lvlText w:val="%3."/>
      <w:lvlJc w:val="right"/>
      <w:pPr>
        <w:ind w:left="3240" w:hanging="180"/>
      </w:pPr>
    </w:lvl>
    <w:lvl w:ilvl="3" w:tplc="3409000F" w:tentative="1">
      <w:start w:val="1"/>
      <w:numFmt w:val="decimal"/>
      <w:lvlText w:val="%4."/>
      <w:lvlJc w:val="left"/>
      <w:pPr>
        <w:ind w:left="3960" w:hanging="360"/>
      </w:pPr>
    </w:lvl>
    <w:lvl w:ilvl="4" w:tplc="34090019" w:tentative="1">
      <w:start w:val="1"/>
      <w:numFmt w:val="lowerLetter"/>
      <w:lvlText w:val="%5."/>
      <w:lvlJc w:val="left"/>
      <w:pPr>
        <w:ind w:left="4680" w:hanging="360"/>
      </w:pPr>
    </w:lvl>
    <w:lvl w:ilvl="5" w:tplc="3409001B" w:tentative="1">
      <w:start w:val="1"/>
      <w:numFmt w:val="lowerRoman"/>
      <w:lvlText w:val="%6."/>
      <w:lvlJc w:val="right"/>
      <w:pPr>
        <w:ind w:left="5400" w:hanging="180"/>
      </w:pPr>
    </w:lvl>
    <w:lvl w:ilvl="6" w:tplc="3409000F" w:tentative="1">
      <w:start w:val="1"/>
      <w:numFmt w:val="decimal"/>
      <w:lvlText w:val="%7."/>
      <w:lvlJc w:val="left"/>
      <w:pPr>
        <w:ind w:left="6120" w:hanging="360"/>
      </w:pPr>
    </w:lvl>
    <w:lvl w:ilvl="7" w:tplc="34090019" w:tentative="1">
      <w:start w:val="1"/>
      <w:numFmt w:val="lowerLetter"/>
      <w:lvlText w:val="%8."/>
      <w:lvlJc w:val="left"/>
      <w:pPr>
        <w:ind w:left="6840" w:hanging="360"/>
      </w:pPr>
    </w:lvl>
    <w:lvl w:ilvl="8" w:tplc="3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1F6179D"/>
    <w:multiLevelType w:val="hybridMultilevel"/>
    <w:tmpl w:val="C08A2336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F04D7"/>
    <w:multiLevelType w:val="hybridMultilevel"/>
    <w:tmpl w:val="1EF05CBA"/>
    <w:lvl w:ilvl="0" w:tplc="EBB2D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2501DD"/>
    <w:multiLevelType w:val="hybridMultilevel"/>
    <w:tmpl w:val="64CC5490"/>
    <w:lvl w:ilvl="0" w:tplc="3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7A6668F8"/>
    <w:multiLevelType w:val="hybridMultilevel"/>
    <w:tmpl w:val="9E000C80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4DD"/>
    <w:rsid w:val="00001E9F"/>
    <w:rsid w:val="00003514"/>
    <w:rsid w:val="00006250"/>
    <w:rsid w:val="00017C03"/>
    <w:rsid w:val="00062CA7"/>
    <w:rsid w:val="00063D2B"/>
    <w:rsid w:val="00075F6B"/>
    <w:rsid w:val="00092B21"/>
    <w:rsid w:val="000D3928"/>
    <w:rsid w:val="000F0392"/>
    <w:rsid w:val="000F121E"/>
    <w:rsid w:val="000F3228"/>
    <w:rsid w:val="000F5CEE"/>
    <w:rsid w:val="00114C95"/>
    <w:rsid w:val="00121568"/>
    <w:rsid w:val="001504F5"/>
    <w:rsid w:val="001551B7"/>
    <w:rsid w:val="0017731C"/>
    <w:rsid w:val="0019009C"/>
    <w:rsid w:val="001A0AA2"/>
    <w:rsid w:val="001D6669"/>
    <w:rsid w:val="002352F4"/>
    <w:rsid w:val="00264812"/>
    <w:rsid w:val="00276752"/>
    <w:rsid w:val="002918D0"/>
    <w:rsid w:val="002E1CA1"/>
    <w:rsid w:val="00302E85"/>
    <w:rsid w:val="00306452"/>
    <w:rsid w:val="003C4BD4"/>
    <w:rsid w:val="003C7432"/>
    <w:rsid w:val="003D72FC"/>
    <w:rsid w:val="003E1766"/>
    <w:rsid w:val="003F1818"/>
    <w:rsid w:val="00453F49"/>
    <w:rsid w:val="004939DA"/>
    <w:rsid w:val="004A71B7"/>
    <w:rsid w:val="004B47AB"/>
    <w:rsid w:val="00546A09"/>
    <w:rsid w:val="005505CB"/>
    <w:rsid w:val="005A66B4"/>
    <w:rsid w:val="005B54A6"/>
    <w:rsid w:val="005D75B9"/>
    <w:rsid w:val="00607F7B"/>
    <w:rsid w:val="006445D3"/>
    <w:rsid w:val="006447CF"/>
    <w:rsid w:val="006479F9"/>
    <w:rsid w:val="006652AE"/>
    <w:rsid w:val="00674B34"/>
    <w:rsid w:val="00695200"/>
    <w:rsid w:val="00695D34"/>
    <w:rsid w:val="006969F0"/>
    <w:rsid w:val="006A48BE"/>
    <w:rsid w:val="00702E25"/>
    <w:rsid w:val="00703970"/>
    <w:rsid w:val="00710BE1"/>
    <w:rsid w:val="00717FC8"/>
    <w:rsid w:val="0074252D"/>
    <w:rsid w:val="00772C61"/>
    <w:rsid w:val="0079557A"/>
    <w:rsid w:val="007D5DB2"/>
    <w:rsid w:val="008176CD"/>
    <w:rsid w:val="008368A0"/>
    <w:rsid w:val="00882629"/>
    <w:rsid w:val="008A4140"/>
    <w:rsid w:val="008C2CC1"/>
    <w:rsid w:val="008E2147"/>
    <w:rsid w:val="008F2935"/>
    <w:rsid w:val="008F7C63"/>
    <w:rsid w:val="00923006"/>
    <w:rsid w:val="00941035"/>
    <w:rsid w:val="00941B61"/>
    <w:rsid w:val="00943C8E"/>
    <w:rsid w:val="00960D3E"/>
    <w:rsid w:val="00967ABB"/>
    <w:rsid w:val="00A17F8C"/>
    <w:rsid w:val="00A20282"/>
    <w:rsid w:val="00A2482C"/>
    <w:rsid w:val="00A26918"/>
    <w:rsid w:val="00A45E52"/>
    <w:rsid w:val="00A533BF"/>
    <w:rsid w:val="00A65139"/>
    <w:rsid w:val="00A91338"/>
    <w:rsid w:val="00A93C37"/>
    <w:rsid w:val="00AB0119"/>
    <w:rsid w:val="00AB7FC9"/>
    <w:rsid w:val="00AD3463"/>
    <w:rsid w:val="00AD3D1D"/>
    <w:rsid w:val="00AE1AA5"/>
    <w:rsid w:val="00AF155C"/>
    <w:rsid w:val="00B1220A"/>
    <w:rsid w:val="00B172FE"/>
    <w:rsid w:val="00B338E1"/>
    <w:rsid w:val="00B53A01"/>
    <w:rsid w:val="00B60C7C"/>
    <w:rsid w:val="00BB1990"/>
    <w:rsid w:val="00BF2AD0"/>
    <w:rsid w:val="00BF54DD"/>
    <w:rsid w:val="00C11082"/>
    <w:rsid w:val="00C352AE"/>
    <w:rsid w:val="00C467AE"/>
    <w:rsid w:val="00CA0F5D"/>
    <w:rsid w:val="00CA61F1"/>
    <w:rsid w:val="00CB102B"/>
    <w:rsid w:val="00CB1559"/>
    <w:rsid w:val="00CB45F3"/>
    <w:rsid w:val="00CD28A0"/>
    <w:rsid w:val="00CD6B45"/>
    <w:rsid w:val="00CF0682"/>
    <w:rsid w:val="00D1021F"/>
    <w:rsid w:val="00D27079"/>
    <w:rsid w:val="00D27F6A"/>
    <w:rsid w:val="00D37E4B"/>
    <w:rsid w:val="00D40262"/>
    <w:rsid w:val="00D40927"/>
    <w:rsid w:val="00D442E3"/>
    <w:rsid w:val="00D9533C"/>
    <w:rsid w:val="00DB3D0E"/>
    <w:rsid w:val="00DD15E3"/>
    <w:rsid w:val="00E06C92"/>
    <w:rsid w:val="00E24C40"/>
    <w:rsid w:val="00E47DD2"/>
    <w:rsid w:val="00E52484"/>
    <w:rsid w:val="00E96FB1"/>
    <w:rsid w:val="00EA4EE2"/>
    <w:rsid w:val="00EB3DA1"/>
    <w:rsid w:val="00EE4561"/>
    <w:rsid w:val="00F43A8B"/>
    <w:rsid w:val="00F45447"/>
    <w:rsid w:val="00F52897"/>
    <w:rsid w:val="00F54472"/>
    <w:rsid w:val="00F66C17"/>
    <w:rsid w:val="00F97E54"/>
    <w:rsid w:val="00FA7106"/>
    <w:rsid w:val="00FC1243"/>
    <w:rsid w:val="00F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255A9"/>
  <w15:chartTrackingRefBased/>
  <w15:docId w15:val="{5181FADC-DA02-40DE-83A0-02AB3B60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D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4DD"/>
    <w:pPr>
      <w:ind w:left="720"/>
      <w:contextualSpacing/>
    </w:pPr>
  </w:style>
  <w:style w:type="table" w:styleId="TableGrid">
    <w:name w:val="Table Grid"/>
    <w:basedOn w:val="TableNormal"/>
    <w:uiPriority w:val="39"/>
    <w:rsid w:val="004939D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B3D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EB3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Pri151</b:Tag>
    <b:SourceType>ElectronicSource</b:SourceType>
    <b:Guid>{5BB44077-890E-42D4-8AA3-7107A2381512}</b:Guid>
    <b:Title>IFRS and US GAAP: Similarities and Differences</b:Title>
    <b:Medium>Report</b:Medium>
    <b:Year>2015</b:Year>
    <b:Month>September</b:Month>
    <b:Author>
      <b:Author>
        <b:Corporate>PriceWaterhouseCooper</b:Corporate>
      </b:Author>
    </b:Author>
    <b:PublicationTitle>IFRS and US GAAP: Similarities and Differences</b:PublicationTitle>
    <b:URL>http://www.pwc.com/us/en/cfodirect/assets/pdf/accounting-guides/pwc-ifrs-us-gaap-similarities-and-differences-2015.pdf</b:URL>
    <b:RefOrder>2</b:RefOrder>
  </b:Source>
  <b:Source>
    <b:Tag>Inv5</b:Tag>
    <b:SourceType>ElectronicSource</b:SourceType>
    <b:Guid>{52A482DB-168D-4126-8EC7-A24298F47460}</b:Guid>
    <b:Title>International Accounting Standards - IAS</b:Title>
    <b:Author>
      <b:Author>
        <b:Corporate>Investopedia</b:Corporate>
      </b:Author>
    </b:Author>
    <b:PublicationTitle>International Accounting Standards - IAS</b:PublicationTitle>
    <b:URL>http://www.investopedia.com/terms/i/ias.asp</b:URL>
    <b:RefOrder>3</b:RefOrder>
  </b:Source>
  <b:Source>
    <b:Tag>Keo13</b:Tag>
    <b:SourceType>Book</b:SourceType>
    <b:Guid>{887E5626-AA0C-4E79-99BB-2FE4452AF703}</b:Guid>
    <b:Author>
      <b:Author>
        <b:NameList>
          <b:Person>
            <b:Last>Keown</b:Last>
            <b:First>A.J.</b:First>
          </b:Person>
          <b:Person>
            <b:Last>Petty</b:Last>
            <b:First>J.W.</b:First>
          </b:Person>
        </b:NameList>
      </b:Author>
    </b:Author>
    <b:Title>Foundations of Finance</b:Title>
    <b:Year>2013</b:Year>
    <b:Publisher>Pearson</b:Publisher>
    <b:Medium>Textbook</b:Medium>
    <b:Edition>8th</b:Edition>
    <b:RefOrder>1</b:RefOrder>
  </b:Source>
  <b:Source>
    <b:Tag>Del1</b:Tag>
    <b:SourceType>ElectronicSource</b:SourceType>
    <b:Guid>{4BD89A5F-534F-41EA-BF50-0D20B0BDE710}</b:Guid>
    <b:Title>IAS Plus</b:Title>
    <b:Author>
      <b:Author>
        <b:Corporate>Deloitte</b:Corporate>
      </b:Author>
    </b:Author>
    <b:PublicationTitle>IAS 1 — Presentation of Financial Statements</b:PublicationTitle>
    <b:URL>http://www.iasplus.com/en/standards/ias/ias1</b:URL>
    <b:RefOrder>4</b:RefOrder>
  </b:Source>
</b:Sources>
</file>

<file path=customXml/itemProps1.xml><?xml version="1.0" encoding="utf-8"?>
<ds:datastoreItem xmlns:ds="http://schemas.openxmlformats.org/officeDocument/2006/customXml" ds:itemID="{36A669C2-58E3-8847-9623-E20A476C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708</Words>
  <Characters>4042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Tan</dc:creator>
  <cp:keywords/>
  <dc:description/>
  <cp:lastModifiedBy>Microsoft Office User</cp:lastModifiedBy>
  <cp:revision>40</cp:revision>
  <dcterms:created xsi:type="dcterms:W3CDTF">2017-11-14T17:08:00Z</dcterms:created>
  <dcterms:modified xsi:type="dcterms:W3CDTF">2017-12-13T16:40:00Z</dcterms:modified>
</cp:coreProperties>
</file>